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0025F0">
            <w:pPr>
              <w:pStyle w:val="Header"/>
              <w:rPr>
                <w:rFonts w:cs="Arial"/>
                <w:sz w:val="16"/>
                <w:szCs w:val="16"/>
              </w:rPr>
            </w:pPr>
            <w:r w:rsidRPr="00EC47B6">
              <w:rPr>
                <w:rFonts w:cs="Arial"/>
                <w:sz w:val="16"/>
                <w:szCs w:val="16"/>
              </w:rPr>
              <w:t>Reference number(s)</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1864F969" w:rsidR="001B55A2" w:rsidRPr="001B55A2" w:rsidRDefault="001B55A2" w:rsidP="000025F0">
            <w:pPr>
              <w:pStyle w:val="Header"/>
              <w:rPr>
                <w:rFonts w:ascii="Arial" w:hAnsi="Arial" w:cs="Arial"/>
                <w:sz w:val="16"/>
                <w:szCs w:val="16"/>
              </w:rPr>
            </w:pPr>
            <w:r w:rsidRPr="007B3230">
              <w:rPr>
                <w:rFonts w:ascii="Arial" w:hAnsi="Arial" w:cs="Arial"/>
                <w:sz w:val="16"/>
                <w:szCs w:val="16"/>
              </w:rPr>
              <w:t>2585-A</w:t>
            </w:r>
          </w:p>
        </w:tc>
      </w:tr>
    </w:tbl>
    <w:p w14:paraId="74FBA5B4" w14:textId="77777777" w:rsidR="00051356" w:rsidRDefault="00051356" w:rsidP="00A672B3">
      <w:pPr>
        <w:pStyle w:val="BodyText"/>
        <w:rPr>
          <w:b/>
          <w:bCs/>
          <w:sz w:val="16"/>
          <w:szCs w:val="16"/>
        </w:rPr>
        <w:sectPr w:rsidR="00051356" w:rsidSect="00C76E82">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1DDE77D4" w:rsidR="004B15BB" w:rsidRPr="00BD1CC1" w:rsidRDefault="00DE086C" w:rsidP="007E5C16">
      <w:pPr>
        <w:pStyle w:val="Heading1"/>
      </w:pPr>
      <w:r w:rsidRPr="00DE086C">
        <w:t>Specialty Guideline Management</w:t>
      </w:r>
      <w:r w:rsidR="008C54D9" w:rsidRPr="00BD1CC1">
        <w:br/>
      </w:r>
      <w:r w:rsidRPr="00DE086C">
        <w:t>Palynziq</w:t>
      </w:r>
    </w:p>
    <w:p w14:paraId="78861C92" w14:textId="32A7AC29" w:rsidR="00203468" w:rsidRPr="00BD1CC1" w:rsidRDefault="00C64534" w:rsidP="008E0F0D">
      <w:pPr>
        <w:pStyle w:val="Heading2"/>
      </w:pPr>
      <w:r w:rsidRPr="00BD1CC1">
        <w:t xml:space="preserve">Products Referenced by this </w:t>
      </w:r>
      <w:r w:rsidR="00501602" w:rsidRPr="00BD1CC1">
        <w:t>Document</w:t>
      </w:r>
    </w:p>
    <w:p w14:paraId="5455152B" w14:textId="544EA914"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315278">
        <w:t>Over-the-counter (</w:t>
      </w:r>
      <w:r w:rsidRPr="00BD1CC1">
        <w:t>OTC</w:t>
      </w:r>
      <w:r w:rsidR="00315278">
        <w:t>)</w:t>
      </w:r>
      <w:r w:rsidRPr="00BD1CC1">
        <w:t xml:space="preserve"> products are not included unless otherwise stated.</w:t>
      </w:r>
    </w:p>
    <w:tbl>
      <w:tblPr>
        <w:tblStyle w:val="TableGrid"/>
        <w:tblW w:w="1077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385"/>
        <w:gridCol w:w="5385"/>
      </w:tblGrid>
      <w:tr w:rsidR="00252CE1" w:rsidRPr="00BD1CC1" w14:paraId="158421F8" w14:textId="77777777" w:rsidTr="007F1E10">
        <w:trPr>
          <w:cantSplit/>
          <w:trHeight w:val="288"/>
          <w:tblHeader/>
        </w:trPr>
        <w:tc>
          <w:tcPr>
            <w:tcW w:w="5385" w:type="dxa"/>
            <w:vAlign w:val="center"/>
          </w:tcPr>
          <w:p w14:paraId="2A27354A" w14:textId="1390179E" w:rsidR="00252CE1" w:rsidRPr="00BD1CC1" w:rsidRDefault="00252CE1" w:rsidP="007F1E10">
            <w:pPr>
              <w:pStyle w:val="TableHeader"/>
              <w:spacing w:after="0"/>
            </w:pPr>
            <w:bookmarkStart w:id="0" w:name="_Hlk159603270"/>
            <w:r w:rsidRPr="00BD1CC1">
              <w:t>Brand Name</w:t>
            </w:r>
          </w:p>
        </w:tc>
        <w:tc>
          <w:tcPr>
            <w:tcW w:w="5385" w:type="dxa"/>
            <w:vAlign w:val="center"/>
          </w:tcPr>
          <w:p w14:paraId="3D342BE1" w14:textId="75F11EF1" w:rsidR="00252CE1" w:rsidRPr="00BD1CC1" w:rsidRDefault="00252CE1" w:rsidP="007F1E10">
            <w:pPr>
              <w:pStyle w:val="TableHeader"/>
              <w:spacing w:after="0"/>
            </w:pPr>
            <w:r w:rsidRPr="00BD1CC1">
              <w:t>Generic Name</w:t>
            </w:r>
          </w:p>
        </w:tc>
      </w:tr>
      <w:tr w:rsidR="00585FFF" w:rsidRPr="00BD1CC1" w14:paraId="2AD5C02D" w14:textId="77777777" w:rsidTr="007F1E10">
        <w:trPr>
          <w:cantSplit/>
        </w:trPr>
        <w:tc>
          <w:tcPr>
            <w:tcW w:w="5385" w:type="dxa"/>
          </w:tcPr>
          <w:p w14:paraId="2D8FA8E3" w14:textId="1A9005B7" w:rsidR="00585FFF" w:rsidRPr="00BD1CC1" w:rsidRDefault="00DE086C" w:rsidP="00873DA5">
            <w:pPr>
              <w:pStyle w:val="TableDataUnpadded"/>
            </w:pPr>
            <w:r w:rsidRPr="00DE086C">
              <w:t>Palynziq</w:t>
            </w:r>
          </w:p>
        </w:tc>
        <w:tc>
          <w:tcPr>
            <w:tcW w:w="5385" w:type="dxa"/>
          </w:tcPr>
          <w:p w14:paraId="7E26A004" w14:textId="623777DF" w:rsidR="00585FFF" w:rsidRPr="00BD1CC1" w:rsidRDefault="00DE086C" w:rsidP="00873DA5">
            <w:pPr>
              <w:pStyle w:val="TableDataUnpadded"/>
            </w:pPr>
            <w:r w:rsidRPr="00DE086C">
              <w:t>pegvaliase-pqpz</w:t>
            </w:r>
          </w:p>
        </w:tc>
      </w:tr>
    </w:tbl>
    <w:bookmarkEnd w:id="0"/>
    <w:p w14:paraId="40861567" w14:textId="7AA7C8C5" w:rsidR="00F11AFD" w:rsidRPr="00F11AFD" w:rsidRDefault="00ED052F" w:rsidP="00F11AFD">
      <w:pPr>
        <w:pStyle w:val="Heading2"/>
      </w:pPr>
      <w:r>
        <w:t>Indications</w:t>
      </w:r>
    </w:p>
    <w:p w14:paraId="4E5FCFB2" w14:textId="023B1BD5" w:rsidR="00B26F29" w:rsidRPr="00B26F29" w:rsidRDefault="00B26F29" w:rsidP="00B26F29">
      <w:pPr>
        <w:pStyle w:val="BodyText"/>
      </w:pPr>
      <w:r w:rsidRPr="00B26F29">
        <w:t>The indications below including FDA-approved indications and compendial uses are considered a covered benefit provided that all the approval criteria are met and the member has no exclusions to the prescribed therapy</w:t>
      </w:r>
    </w:p>
    <w:p w14:paraId="134B5687" w14:textId="11CE15B8" w:rsidR="00ED052F" w:rsidRPr="00BD1CC1" w:rsidRDefault="00ED052F" w:rsidP="00ED052F">
      <w:pPr>
        <w:pStyle w:val="Heading3"/>
        <w:keepNext w:val="0"/>
      </w:pPr>
      <w:r w:rsidRPr="00BD1CC1">
        <w:t>FDA-approved Indications</w:t>
      </w:r>
      <w:r w:rsidR="0049317B">
        <w:rPr>
          <w:vertAlign w:val="superscript"/>
        </w:rPr>
        <w:t>1</w:t>
      </w:r>
    </w:p>
    <w:p w14:paraId="3D2EE03C" w14:textId="453C4F16" w:rsidR="00B26F29" w:rsidRDefault="00B26F29" w:rsidP="00ED052F">
      <w:pPr>
        <w:pStyle w:val="BodyText"/>
      </w:pPr>
      <w:r w:rsidRPr="00B26F29">
        <w:t>Palynziq is indicated to reduce blood phenylalanine (Phe) concentrations in adult patients with phenylketonuria (PKU) who have uncontrolled blood Phe concentrations greater than 600 micromol/L on existing management</w:t>
      </w:r>
      <w:r w:rsidR="0049317B">
        <w:t>.</w:t>
      </w:r>
    </w:p>
    <w:p w14:paraId="3058A5F8" w14:textId="3FAA6581" w:rsidR="005C778C" w:rsidRPr="00255903" w:rsidRDefault="00B26F29" w:rsidP="00B26F29">
      <w:pPr>
        <w:pStyle w:val="BodyText"/>
      </w:pPr>
      <w:r w:rsidRPr="00B26F29">
        <w:t>All other indications are considered experimental/investigational and not medically necessary.</w:t>
      </w:r>
    </w:p>
    <w:p w14:paraId="36381B6D" w14:textId="326FEBE1" w:rsidR="000D2496" w:rsidRPr="00BD1CC1" w:rsidRDefault="000D2496" w:rsidP="000D2496">
      <w:pPr>
        <w:pStyle w:val="Heading2"/>
      </w:pPr>
      <w:r w:rsidRPr="00BD1CC1">
        <w:t>Documentation</w:t>
      </w:r>
    </w:p>
    <w:p w14:paraId="2180ED6E" w14:textId="2A23F9E7" w:rsidR="000D2496" w:rsidRDefault="00B26F29" w:rsidP="000D2496">
      <w:pPr>
        <w:pStyle w:val="BodyText"/>
      </w:pPr>
      <w:r w:rsidRPr="00B26F29">
        <w:t>Submission of the following information is necessary to initiate the prior authorization review: blood phenylalanine concentration greater than 600 micromol/L or genetic testing results supporting diagnosis.</w:t>
      </w:r>
    </w:p>
    <w:p w14:paraId="5C1893EE" w14:textId="3D5088F5" w:rsidR="00EA4EF5" w:rsidRDefault="00EA4EF5" w:rsidP="00EA4EF5">
      <w:pPr>
        <w:pStyle w:val="Heading2"/>
      </w:pPr>
      <w:r>
        <w:lastRenderedPageBreak/>
        <w:t>Prescriber Specialties</w:t>
      </w:r>
    </w:p>
    <w:p w14:paraId="7A901CFC" w14:textId="1763FE9F" w:rsidR="00264111" w:rsidRDefault="00D43530" w:rsidP="00264111">
      <w:pPr>
        <w:pStyle w:val="BodyText"/>
      </w:pPr>
      <w:r>
        <w:t xml:space="preserve">This medication must be prescribed by or in consultation with a </w:t>
      </w:r>
      <w:r w:rsidR="6D4A52F9">
        <w:t>physician who specializes in the treatment of</w:t>
      </w:r>
      <w:r>
        <w:t xml:space="preserve"> </w:t>
      </w:r>
      <w:r w:rsidR="12703114">
        <w:t xml:space="preserve">metabolic disease and/or </w:t>
      </w:r>
      <w:r>
        <w:t>phenylketonuria (PKU).</w:t>
      </w:r>
    </w:p>
    <w:p w14:paraId="4DF59CAC" w14:textId="6E16C4FD" w:rsidR="00B26F29" w:rsidRPr="00B26F29" w:rsidRDefault="009A60D8" w:rsidP="00F11AFD">
      <w:pPr>
        <w:pStyle w:val="Heading2"/>
        <w:tabs>
          <w:tab w:val="left" w:pos="9090"/>
        </w:tabs>
      </w:pPr>
      <w:r w:rsidRPr="009A60D8">
        <w:t>Coverage Criteria</w:t>
      </w:r>
    </w:p>
    <w:p w14:paraId="71EC669B" w14:textId="60F7A166" w:rsidR="00B26F29" w:rsidRPr="007F1E10" w:rsidRDefault="00B26F29" w:rsidP="00B26F29">
      <w:pPr>
        <w:pStyle w:val="Heading3"/>
        <w:ind w:left="136"/>
        <w:rPr>
          <w:vertAlign w:val="superscript"/>
        </w:rPr>
      </w:pPr>
      <w:r w:rsidRPr="00B26F29">
        <w:t>Phenylketonuria (PKU)</w:t>
      </w:r>
      <w:r w:rsidR="0049317B">
        <w:rPr>
          <w:vertAlign w:val="superscript"/>
        </w:rPr>
        <w:t>1</w:t>
      </w:r>
    </w:p>
    <w:p w14:paraId="6D2CB63E" w14:textId="3E2FE9C8" w:rsidR="004F0A59" w:rsidRDefault="00B26F29" w:rsidP="00B26F29">
      <w:pPr>
        <w:autoSpaceDE w:val="0"/>
        <w:autoSpaceDN w:val="0"/>
        <w:adjustRightInd w:val="0"/>
        <w:spacing w:after="120"/>
        <w:ind w:left="136" w:right="142"/>
        <w:rPr>
          <w:szCs w:val="22"/>
        </w:rPr>
      </w:pPr>
      <w:r w:rsidRPr="00B26F29">
        <w:rPr>
          <w:szCs w:val="22"/>
        </w:rPr>
        <w:t xml:space="preserve">Authorization of 6 months may be granted for </w:t>
      </w:r>
      <w:r w:rsidR="004F0A59">
        <w:rPr>
          <w:szCs w:val="22"/>
        </w:rPr>
        <w:t>treatment of phenylketonuria</w:t>
      </w:r>
      <w:r w:rsidR="002A5C22">
        <w:rPr>
          <w:szCs w:val="22"/>
        </w:rPr>
        <w:t xml:space="preserve"> (PKU)</w:t>
      </w:r>
      <w:r w:rsidR="004F0A59">
        <w:rPr>
          <w:szCs w:val="22"/>
        </w:rPr>
        <w:t xml:space="preserve"> when all of the following criteria are met:</w:t>
      </w:r>
    </w:p>
    <w:p w14:paraId="3538A93F" w14:textId="0E9CF86A" w:rsidR="004F0A59" w:rsidRDefault="004F0A59" w:rsidP="004F0A59">
      <w:pPr>
        <w:pStyle w:val="ListParagraph"/>
        <w:numPr>
          <w:ilvl w:val="0"/>
          <w:numId w:val="35"/>
        </w:numPr>
        <w:autoSpaceDE w:val="0"/>
        <w:autoSpaceDN w:val="0"/>
        <w:adjustRightInd w:val="0"/>
        <w:spacing w:after="120"/>
        <w:ind w:right="142"/>
      </w:pPr>
      <w:r>
        <w:t>Member is 18 years of age or older.</w:t>
      </w:r>
    </w:p>
    <w:p w14:paraId="3F6C598E" w14:textId="16DD803C" w:rsidR="00B26F29" w:rsidRPr="004F0A59" w:rsidRDefault="004F0A59" w:rsidP="00264111">
      <w:pPr>
        <w:pStyle w:val="ListParagraph"/>
        <w:numPr>
          <w:ilvl w:val="0"/>
          <w:numId w:val="35"/>
        </w:numPr>
        <w:autoSpaceDE w:val="0"/>
        <w:autoSpaceDN w:val="0"/>
        <w:adjustRightInd w:val="0"/>
        <w:spacing w:after="120"/>
        <w:ind w:right="142"/>
      </w:pPr>
      <w:r>
        <w:t>B</w:t>
      </w:r>
      <w:r w:rsidR="00B26F29" w:rsidRPr="004F0A59">
        <w:t>aseline blood phenylalanine concentration, prior to initiation of the requested medication, is greater than 600 micromol/L</w:t>
      </w:r>
      <w:r w:rsidR="00E16673" w:rsidRPr="004F0A59">
        <w:t>.</w:t>
      </w:r>
    </w:p>
    <w:p w14:paraId="3F06CD5F" w14:textId="7156AA60" w:rsidR="00B26F29" w:rsidRPr="00B26F29" w:rsidRDefault="00B26F29" w:rsidP="00B26F29">
      <w:pPr>
        <w:autoSpaceDE w:val="0"/>
        <w:autoSpaceDN w:val="0"/>
        <w:adjustRightInd w:val="0"/>
        <w:spacing w:after="120"/>
        <w:ind w:left="142"/>
        <w:rPr>
          <w:szCs w:val="22"/>
        </w:rPr>
      </w:pPr>
      <w:r w:rsidRPr="00B26F29">
        <w:rPr>
          <w:szCs w:val="22"/>
        </w:rPr>
        <w:t>Note: If Palynziq is initiated in a member currently receiving Kuvan for phenylketonuria (PKU), then Kuvan will be discontinued after an appropriate period of overlap</w:t>
      </w:r>
      <w:r w:rsidR="0049317B">
        <w:rPr>
          <w:szCs w:val="22"/>
        </w:rPr>
        <w:t>.</w:t>
      </w:r>
    </w:p>
    <w:p w14:paraId="3A643EC3" w14:textId="1D15095D" w:rsidR="00A501AC" w:rsidRPr="00BD1CC1" w:rsidRDefault="00A501AC" w:rsidP="00A501AC">
      <w:pPr>
        <w:pStyle w:val="Heading2"/>
      </w:pPr>
      <w:r w:rsidRPr="00BD1CC1">
        <w:t>Continuation of Therapy</w:t>
      </w:r>
    </w:p>
    <w:p w14:paraId="79F57B2C" w14:textId="3A721DFE" w:rsidR="00B26F29" w:rsidRPr="0049317B" w:rsidRDefault="00B26F29" w:rsidP="00C94703">
      <w:pPr>
        <w:pStyle w:val="Heading3"/>
      </w:pPr>
      <w:r>
        <w:t>Phenylketonuria (PKU)</w:t>
      </w:r>
      <w:r w:rsidR="0049317B">
        <w:rPr>
          <w:vertAlign w:val="superscript"/>
        </w:rPr>
        <w:t>1</w:t>
      </w:r>
    </w:p>
    <w:p w14:paraId="59834A55" w14:textId="497E9524" w:rsidR="00B26F29" w:rsidRPr="00433FF0" w:rsidRDefault="00B26F29" w:rsidP="007F1E10">
      <w:pPr>
        <w:pStyle w:val="BodyText"/>
      </w:pPr>
      <w:r w:rsidRPr="00433FF0">
        <w:t>Authorization of 12 months may be granted for members who have achieved a clinical response as evidenced by achieving a blood phenylalanine concentration of less than or equal to 600 micromol/L.</w:t>
      </w:r>
    </w:p>
    <w:p w14:paraId="1CC788C1" w14:textId="4200F695" w:rsidR="00B26F29" w:rsidRPr="00433FF0" w:rsidRDefault="00B26F29" w:rsidP="007F1E10">
      <w:pPr>
        <w:pStyle w:val="BodyText"/>
      </w:pPr>
      <w:r w:rsidRPr="00433FF0">
        <w:t>Authorization of 6 months may be granted for members who have not achieved an adequate clinical response to treatment with the requested medication of blood phenylalanine concentration less than or equal to 600 micromol/L and the member meets one of the following requirements:</w:t>
      </w:r>
    </w:p>
    <w:p w14:paraId="2DD620D7" w14:textId="4976ACDF" w:rsidR="00B26F29" w:rsidRPr="00433FF0" w:rsidRDefault="00B26F29" w:rsidP="007F1E10">
      <w:pPr>
        <w:pStyle w:val="ListParagraph"/>
      </w:pPr>
      <w:r w:rsidRPr="00433FF0">
        <w:t>Member has not been titrated to the maximum allowed dose of 60 mg once daily.</w:t>
      </w:r>
    </w:p>
    <w:p w14:paraId="1DD56297" w14:textId="1445BF5E" w:rsidR="00B26F29" w:rsidRPr="00433FF0" w:rsidRDefault="00B26F29" w:rsidP="007F1E10">
      <w:pPr>
        <w:pStyle w:val="ListParagraph"/>
      </w:pPr>
      <w:r w:rsidRPr="00433FF0">
        <w:t xml:space="preserve">Member has received less than 16 weeks of continuous treatment at the maximum allowed dose of 60 mg once daily. </w:t>
      </w:r>
    </w:p>
    <w:p w14:paraId="39DE0018" w14:textId="4136E663" w:rsidR="00A501AC" w:rsidRPr="00BD1CC1" w:rsidRDefault="00B26F29" w:rsidP="00B26F29">
      <w:pPr>
        <w:pStyle w:val="BodyText"/>
      </w:pPr>
      <w:r>
        <w:t>Note: Palynziq should not be used concomitantly with Kuvan for phenylketonuria (PKU).</w:t>
      </w:r>
    </w:p>
    <w:p w14:paraId="09FDD392" w14:textId="77777777" w:rsidR="0049317B" w:rsidRPr="008D1B34" w:rsidRDefault="0049317B" w:rsidP="0049317B">
      <w:pPr>
        <w:pStyle w:val="Heading2"/>
      </w:pPr>
      <w:bookmarkStart w:id="1" w:name="S2.2"/>
      <w:bookmarkStart w:id="2" w:name="section-2.2"/>
      <w:bookmarkStart w:id="3" w:name="section-2.2.1"/>
      <w:bookmarkStart w:id="4" w:name="section-2.2.2"/>
      <w:bookmarkEnd w:id="1"/>
      <w:bookmarkEnd w:id="2"/>
      <w:bookmarkEnd w:id="3"/>
      <w:bookmarkEnd w:id="4"/>
      <w:r w:rsidRPr="008D1B34">
        <w:t>References</w:t>
      </w:r>
    </w:p>
    <w:p w14:paraId="6665FE2C" w14:textId="6C0DCAD4" w:rsidR="00F94D13" w:rsidRPr="007F1E10" w:rsidRDefault="0049317B" w:rsidP="007F1E10">
      <w:pPr>
        <w:pStyle w:val="ReferenceOrdered"/>
        <w:keepNext w:val="0"/>
        <w:keepLines w:val="0"/>
      </w:pPr>
      <w:r w:rsidRPr="0049317B">
        <w:t>Palynziq [package insert]. Novato, CA: BioMarin Pharmaceutical Inc.; November 2020</w:t>
      </w:r>
      <w:r>
        <w:t>.</w:t>
      </w:r>
    </w:p>
    <w:sectPr w:rsidR="00F94D13" w:rsidRPr="007F1E10" w:rsidSect="007F1E10">
      <w:headerReference w:type="first" r:id="rId15"/>
      <w:footerReference w:type="first" r:id="rId16"/>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E0769" w14:textId="77777777" w:rsidR="00943063" w:rsidRDefault="00943063">
      <w:r>
        <w:separator/>
      </w:r>
    </w:p>
  </w:endnote>
  <w:endnote w:type="continuationSeparator" w:id="0">
    <w:p w14:paraId="3BD3735A" w14:textId="77777777" w:rsidR="00943063" w:rsidRDefault="00943063">
      <w:r>
        <w:continuationSeparator/>
      </w:r>
    </w:p>
  </w:endnote>
  <w:endnote w:type="continuationNotice" w:id="1">
    <w:p w14:paraId="3E7FA126" w14:textId="77777777" w:rsidR="00943063" w:rsidRDefault="009430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altName w:val="Calibri"/>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0558E403"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FB52B0" w:rsidRPr="00FB52B0">
      <w:rPr>
        <w:rFonts w:cs="Arial"/>
        <w:noProof/>
        <w:sz w:val="16"/>
        <w:szCs w:val="16"/>
      </w:rPr>
      <w:t>Palynziq</w:t>
    </w:r>
    <w:r w:rsidR="00FB52B0">
      <w:rPr>
        <w:rFonts w:cs="Arial"/>
        <w:noProof/>
        <w:snapToGrid w:val="0"/>
        <w:color w:val="000000"/>
        <w:sz w:val="16"/>
        <w:szCs w:val="16"/>
      </w:rPr>
      <w:t xml:space="preserve"> SGM 2585-A</w:t>
    </w:r>
    <w:r w:rsidR="00FB52B0" w:rsidRPr="00FB52B0">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xml:space="preserve">© </w:t>
    </w:r>
    <w:r w:rsidR="007547E5" w:rsidRPr="00EC47B6">
      <w:rPr>
        <w:rFonts w:cs="Arial"/>
        <w:snapToGrid w:val="0"/>
        <w:color w:val="000000"/>
        <w:sz w:val="16"/>
      </w:rPr>
      <w:t>202</w:t>
    </w:r>
    <w:r w:rsidR="007547E5">
      <w:rPr>
        <w:rFonts w:cs="Arial"/>
        <w:snapToGrid w:val="0"/>
        <w:color w:val="000000"/>
        <w:sz w:val="16"/>
      </w:rPr>
      <w:t>5</w:t>
    </w:r>
    <w:r w:rsidR="00AA796D">
      <w:rPr>
        <w:rFonts w:cs="Arial"/>
        <w:snapToGrid w:val="0"/>
        <w:color w:val="000000"/>
        <w:sz w:val="16"/>
      </w:rPr>
      <w:t xml:space="preserve"> </w:t>
    </w:r>
    <w:r w:rsidRPr="00EC47B6">
      <w:rPr>
        <w:rFonts w:cs="Arial"/>
        <w:snapToGrid w:val="0"/>
        <w:color w:val="000000"/>
        <w:sz w:val="16"/>
      </w:rPr>
      <w:t>CVS Caremark. All rights reserved.</w:t>
    </w:r>
  </w:p>
  <w:p w14:paraId="61CF5924" w14:textId="1E54094E"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776BF506" w:rsidR="00F75C81" w:rsidRPr="00AA1E6A" w:rsidRDefault="00C36B72" w:rsidP="007F1E10">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5077D26F"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FB52B0" w:rsidRPr="00FB52B0">
      <w:rPr>
        <w:rFonts w:cs="Arial"/>
        <w:noProof/>
        <w:sz w:val="16"/>
        <w:szCs w:val="16"/>
      </w:rPr>
      <w:t>Palynziq</w:t>
    </w:r>
    <w:r w:rsidR="00FB52B0">
      <w:rPr>
        <w:rFonts w:cs="Arial"/>
        <w:noProof/>
        <w:snapToGrid w:val="0"/>
        <w:color w:val="000000"/>
        <w:sz w:val="16"/>
        <w:szCs w:val="16"/>
      </w:rPr>
      <w:t xml:space="preserve"> SGM 2585-A</w:t>
    </w:r>
    <w:r w:rsidR="00FB52B0" w:rsidRPr="00FB52B0">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xml:space="preserve">© </w:t>
    </w:r>
    <w:r w:rsidR="007547E5" w:rsidRPr="00EC47B6">
      <w:rPr>
        <w:rFonts w:cs="Arial"/>
        <w:snapToGrid w:val="0"/>
        <w:color w:val="000000"/>
        <w:sz w:val="16"/>
      </w:rPr>
      <w:t>202</w:t>
    </w:r>
    <w:r w:rsidR="007547E5">
      <w:rPr>
        <w:rFonts w:cs="Arial"/>
        <w:snapToGrid w:val="0"/>
        <w:color w:val="000000"/>
        <w:sz w:val="16"/>
      </w:rPr>
      <w:t>5</w:t>
    </w:r>
    <w:r w:rsidR="007547E5" w:rsidRPr="00EC47B6">
      <w:rPr>
        <w:rFonts w:cs="Arial"/>
        <w:snapToGrid w:val="0"/>
        <w:color w:val="000000"/>
        <w:sz w:val="16"/>
      </w:rPr>
      <w:t xml:space="preserve"> </w:t>
    </w:r>
    <w:r w:rsidRPr="00EC47B6">
      <w:rPr>
        <w:rFonts w:cs="Arial"/>
        <w:snapToGrid w:val="0"/>
        <w:color w:val="000000"/>
        <w:sz w:val="16"/>
      </w:rPr>
      <w:t>CVS Caremark. All rights reserved.</w:t>
    </w:r>
  </w:p>
  <w:p w14:paraId="39BFE579" w14:textId="65677729"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5F7F2DB5" w:rsidR="00ED04EC" w:rsidRPr="00F50D98" w:rsidRDefault="00F50D98" w:rsidP="007F1E10">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1674" w14:textId="03CB438C" w:rsidR="000F5383" w:rsidRPr="00F50D98" w:rsidRDefault="000F538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60D58" w14:textId="77777777" w:rsidR="00943063" w:rsidRDefault="00943063">
      <w:r>
        <w:separator/>
      </w:r>
    </w:p>
  </w:footnote>
  <w:footnote w:type="continuationSeparator" w:id="0">
    <w:p w14:paraId="3C8631B8" w14:textId="77777777" w:rsidR="00943063" w:rsidRDefault="00943063">
      <w:r>
        <w:continuationSeparator/>
      </w:r>
    </w:p>
  </w:footnote>
  <w:footnote w:type="continuationNotice" w:id="1">
    <w:p w14:paraId="20FA2E25" w14:textId="77777777" w:rsidR="00943063" w:rsidRDefault="009430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7F1E10" w14:paraId="16262E63" w14:textId="77777777">
      <w:trPr>
        <w:trHeight w:val="144"/>
        <w:jc w:val="right"/>
      </w:trPr>
      <w:tc>
        <w:tcPr>
          <w:tcW w:w="1854" w:type="dxa"/>
          <w:hideMark/>
        </w:tcPr>
        <w:p w14:paraId="18F550B7" w14:textId="77777777" w:rsidR="00ED04EC" w:rsidRPr="007F1E10" w:rsidRDefault="00ED04EC" w:rsidP="00ED04EC">
          <w:pPr>
            <w:pStyle w:val="Header"/>
            <w:rPr>
              <w:rFonts w:cs="Arial"/>
              <w:sz w:val="16"/>
              <w:szCs w:val="16"/>
            </w:rPr>
          </w:pPr>
          <w:r w:rsidRPr="007F1E10">
            <w:rPr>
              <w:rFonts w:cs="Arial"/>
              <w:sz w:val="16"/>
              <w:szCs w:val="16"/>
            </w:rPr>
            <w:t>Reference number(s)</w:t>
          </w:r>
        </w:p>
      </w:tc>
    </w:tr>
    <w:tr w:rsidR="00ED04EC" w:rsidRPr="007F1E10" w14:paraId="703C6588" w14:textId="77777777">
      <w:trPr>
        <w:trHeight w:val="378"/>
        <w:jc w:val="right"/>
      </w:trPr>
      <w:tc>
        <w:tcPr>
          <w:tcW w:w="1854" w:type="dxa"/>
          <w:hideMark/>
        </w:tcPr>
        <w:p w14:paraId="51CE3E64" w14:textId="43A4A646" w:rsidR="00F11AFD" w:rsidRPr="007F1E10" w:rsidRDefault="00F11AFD" w:rsidP="00ED04EC">
          <w:pPr>
            <w:pStyle w:val="Header"/>
            <w:rPr>
              <w:rFonts w:cs="Arial"/>
              <w:sz w:val="16"/>
              <w:szCs w:val="16"/>
            </w:rPr>
          </w:pPr>
          <w:r w:rsidRPr="007F1E10">
            <w:rPr>
              <w:rFonts w:cs="Arial"/>
              <w:sz w:val="16"/>
              <w:szCs w:val="16"/>
            </w:rPr>
            <w:t>2585-A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trPr>
        <w:trHeight w:val="144"/>
        <w:jc w:val="right"/>
      </w:trPr>
      <w:tc>
        <w:tcPr>
          <w:tcW w:w="1854" w:type="dxa"/>
          <w:hideMark/>
        </w:tcPr>
        <w:p w14:paraId="4ADC44D6" w14:textId="77777777" w:rsidR="000F5383" w:rsidRPr="004159B2" w:rsidRDefault="000F5383" w:rsidP="000F5383">
          <w:pPr>
            <w:pStyle w:val="Header"/>
            <w:rPr>
              <w:rFonts w:cs="Arial"/>
              <w:sz w:val="16"/>
              <w:szCs w:val="16"/>
            </w:rPr>
          </w:pPr>
          <w:r w:rsidRPr="004159B2">
            <w:rPr>
              <w:rFonts w:cs="Arial"/>
              <w:sz w:val="16"/>
              <w:szCs w:val="16"/>
            </w:rPr>
            <w:t>Reference number(s)</w:t>
          </w:r>
        </w:p>
      </w:tc>
    </w:tr>
    <w:tr w:rsidR="000F5383" w:rsidRPr="00ED04EC" w14:paraId="2259874D" w14:textId="77777777">
      <w:trPr>
        <w:trHeight w:val="378"/>
        <w:jc w:val="right"/>
      </w:trPr>
      <w:tc>
        <w:tcPr>
          <w:tcW w:w="1854" w:type="dxa"/>
          <w:hideMark/>
        </w:tcPr>
        <w:p w14:paraId="475EFE95" w14:textId="77777777" w:rsidR="000F5383" w:rsidRPr="00AA1E6A" w:rsidRDefault="000F5383" w:rsidP="000F5383">
          <w:pPr>
            <w:pStyle w:val="Header"/>
            <w:rPr>
              <w:rFonts w:ascii="Arial" w:hAnsi="Arial" w:cs="Arial"/>
              <w:color w:val="FF0000"/>
              <w:sz w:val="16"/>
              <w:szCs w:val="16"/>
            </w:rPr>
          </w:pP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27C03"/>
    <w:multiLevelType w:val="hybridMultilevel"/>
    <w:tmpl w:val="AF503138"/>
    <w:lvl w:ilvl="0" w:tplc="6CDA86C6">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22C801DC"/>
    <w:multiLevelType w:val="hybridMultilevel"/>
    <w:tmpl w:val="036E0860"/>
    <w:lvl w:ilvl="0" w:tplc="9B1E5ECE">
      <w:start w:val="1"/>
      <w:numFmt w:val="upperLetter"/>
      <w:pStyle w:val="ReferenceInternal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476B59"/>
    <w:multiLevelType w:val="hybridMultilevel"/>
    <w:tmpl w:val="ED903F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534434"/>
    <w:multiLevelType w:val="hybridMultilevel"/>
    <w:tmpl w:val="798460D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441A22"/>
    <w:multiLevelType w:val="hybridMultilevel"/>
    <w:tmpl w:val="9B4C40DC"/>
    <w:lvl w:ilvl="0" w:tplc="A4143EEE">
      <w:start w:val="1"/>
      <w:numFmt w:val="upp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4D0118"/>
    <w:multiLevelType w:val="hybridMultilevel"/>
    <w:tmpl w:val="41861D9A"/>
    <w:lvl w:ilvl="0" w:tplc="04090001">
      <w:start w:val="1"/>
      <w:numFmt w:val="bullet"/>
      <w:lvlText w:val=""/>
      <w:lvlJc w:val="left"/>
      <w:pPr>
        <w:ind w:left="856" w:hanging="360"/>
      </w:pPr>
      <w:rPr>
        <w:rFonts w:ascii="Symbol" w:hAnsi="Symbol" w:hint="default"/>
      </w:rPr>
    </w:lvl>
    <w:lvl w:ilvl="1" w:tplc="04090003" w:tentative="1">
      <w:start w:val="1"/>
      <w:numFmt w:val="bullet"/>
      <w:lvlText w:val="o"/>
      <w:lvlJc w:val="left"/>
      <w:pPr>
        <w:ind w:left="1576" w:hanging="360"/>
      </w:pPr>
      <w:rPr>
        <w:rFonts w:ascii="Courier New" w:hAnsi="Courier New" w:cs="Courier New" w:hint="default"/>
      </w:rPr>
    </w:lvl>
    <w:lvl w:ilvl="2" w:tplc="04090005" w:tentative="1">
      <w:start w:val="1"/>
      <w:numFmt w:val="bullet"/>
      <w:lvlText w:val=""/>
      <w:lvlJc w:val="left"/>
      <w:pPr>
        <w:ind w:left="2296" w:hanging="360"/>
      </w:pPr>
      <w:rPr>
        <w:rFonts w:ascii="Wingdings" w:hAnsi="Wingdings" w:hint="default"/>
      </w:rPr>
    </w:lvl>
    <w:lvl w:ilvl="3" w:tplc="04090001" w:tentative="1">
      <w:start w:val="1"/>
      <w:numFmt w:val="bullet"/>
      <w:lvlText w:val=""/>
      <w:lvlJc w:val="left"/>
      <w:pPr>
        <w:ind w:left="3016" w:hanging="360"/>
      </w:pPr>
      <w:rPr>
        <w:rFonts w:ascii="Symbol" w:hAnsi="Symbol" w:hint="default"/>
      </w:rPr>
    </w:lvl>
    <w:lvl w:ilvl="4" w:tplc="04090003" w:tentative="1">
      <w:start w:val="1"/>
      <w:numFmt w:val="bullet"/>
      <w:lvlText w:val="o"/>
      <w:lvlJc w:val="left"/>
      <w:pPr>
        <w:ind w:left="3736" w:hanging="360"/>
      </w:pPr>
      <w:rPr>
        <w:rFonts w:ascii="Courier New" w:hAnsi="Courier New" w:cs="Courier New" w:hint="default"/>
      </w:rPr>
    </w:lvl>
    <w:lvl w:ilvl="5" w:tplc="04090005" w:tentative="1">
      <w:start w:val="1"/>
      <w:numFmt w:val="bullet"/>
      <w:lvlText w:val=""/>
      <w:lvlJc w:val="left"/>
      <w:pPr>
        <w:ind w:left="4456" w:hanging="360"/>
      </w:pPr>
      <w:rPr>
        <w:rFonts w:ascii="Wingdings" w:hAnsi="Wingdings" w:hint="default"/>
      </w:rPr>
    </w:lvl>
    <w:lvl w:ilvl="6" w:tplc="04090001" w:tentative="1">
      <w:start w:val="1"/>
      <w:numFmt w:val="bullet"/>
      <w:lvlText w:val=""/>
      <w:lvlJc w:val="left"/>
      <w:pPr>
        <w:ind w:left="5176" w:hanging="360"/>
      </w:pPr>
      <w:rPr>
        <w:rFonts w:ascii="Symbol" w:hAnsi="Symbol" w:hint="default"/>
      </w:rPr>
    </w:lvl>
    <w:lvl w:ilvl="7" w:tplc="04090003" w:tentative="1">
      <w:start w:val="1"/>
      <w:numFmt w:val="bullet"/>
      <w:lvlText w:val="o"/>
      <w:lvlJc w:val="left"/>
      <w:pPr>
        <w:ind w:left="5896" w:hanging="360"/>
      </w:pPr>
      <w:rPr>
        <w:rFonts w:ascii="Courier New" w:hAnsi="Courier New" w:cs="Courier New" w:hint="default"/>
      </w:rPr>
    </w:lvl>
    <w:lvl w:ilvl="8" w:tplc="04090005" w:tentative="1">
      <w:start w:val="1"/>
      <w:numFmt w:val="bullet"/>
      <w:lvlText w:val=""/>
      <w:lvlJc w:val="left"/>
      <w:pPr>
        <w:ind w:left="6616" w:hanging="360"/>
      </w:pPr>
      <w:rPr>
        <w:rFonts w:ascii="Wingdings" w:hAnsi="Wingdings" w:hint="default"/>
      </w:rPr>
    </w:lvl>
  </w:abstractNum>
  <w:abstractNum w:abstractNumId="27"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61633B3"/>
    <w:multiLevelType w:val="hybridMultilevel"/>
    <w:tmpl w:val="02F27660"/>
    <w:lvl w:ilvl="0" w:tplc="6CDA86C6">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D97A27"/>
    <w:multiLevelType w:val="hybridMultilevel"/>
    <w:tmpl w:val="BB9A8276"/>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74187B48"/>
    <w:multiLevelType w:val="hybridMultilevel"/>
    <w:tmpl w:val="8A347A70"/>
    <w:lvl w:ilvl="0" w:tplc="6CDA86C6">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B3A2558"/>
    <w:multiLevelType w:val="hybridMultilevel"/>
    <w:tmpl w:val="A1801CCE"/>
    <w:lvl w:ilvl="0" w:tplc="04090005">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34"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27"/>
  </w:num>
  <w:num w:numId="3" w16cid:durableId="611589570">
    <w:abstractNumId w:val="22"/>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1"/>
  </w:num>
  <w:num w:numId="16" w16cid:durableId="898320195">
    <w:abstractNumId w:val="20"/>
  </w:num>
  <w:num w:numId="17" w16cid:durableId="2128498676">
    <w:abstractNumId w:val="32"/>
  </w:num>
  <w:num w:numId="18" w16cid:durableId="299724409">
    <w:abstractNumId w:val="23"/>
  </w:num>
  <w:num w:numId="19" w16cid:durableId="214585573">
    <w:abstractNumId w:val="14"/>
  </w:num>
  <w:num w:numId="20" w16cid:durableId="1289816170">
    <w:abstractNumId w:val="15"/>
  </w:num>
  <w:num w:numId="21" w16cid:durableId="1066490929">
    <w:abstractNumId w:val="34"/>
  </w:num>
  <w:num w:numId="22" w16cid:durableId="1472481103">
    <w:abstractNumId w:val="25"/>
  </w:num>
  <w:num w:numId="23" w16cid:durableId="1997420403">
    <w:abstractNumId w:val="29"/>
  </w:num>
  <w:num w:numId="24" w16cid:durableId="33312838">
    <w:abstractNumId w:val="24"/>
  </w:num>
  <w:num w:numId="25" w16cid:durableId="507404939">
    <w:abstractNumId w:val="19"/>
  </w:num>
  <w:num w:numId="26" w16cid:durableId="1717578568">
    <w:abstractNumId w:val="18"/>
  </w:num>
  <w:num w:numId="27" w16cid:durableId="218906192">
    <w:abstractNumId w:val="21"/>
  </w:num>
  <w:num w:numId="28" w16cid:durableId="936643453">
    <w:abstractNumId w:val="33"/>
  </w:num>
  <w:num w:numId="29" w16cid:durableId="475689285">
    <w:abstractNumId w:val="28"/>
  </w:num>
  <w:num w:numId="30" w16cid:durableId="1604994175">
    <w:abstractNumId w:val="31"/>
  </w:num>
  <w:num w:numId="31" w16cid:durableId="17201339">
    <w:abstractNumId w:val="10"/>
  </w:num>
  <w:num w:numId="32" w16cid:durableId="1363478425">
    <w:abstractNumId w:val="17"/>
  </w:num>
  <w:num w:numId="33" w16cid:durableId="165486579">
    <w:abstractNumId w:val="30"/>
  </w:num>
  <w:num w:numId="34" w16cid:durableId="1148522681">
    <w:abstractNumId w:val="16"/>
  </w:num>
  <w:num w:numId="35" w16cid:durableId="1752044997">
    <w:abstractNumId w:val="2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38D"/>
    <w:rsid w:val="00024BB4"/>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37CB"/>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AB5"/>
    <w:rsid w:val="00094A59"/>
    <w:rsid w:val="00095B9C"/>
    <w:rsid w:val="0009781E"/>
    <w:rsid w:val="000A0CCE"/>
    <w:rsid w:val="000A1653"/>
    <w:rsid w:val="000A1ACD"/>
    <w:rsid w:val="000A2697"/>
    <w:rsid w:val="000A34B0"/>
    <w:rsid w:val="000A3543"/>
    <w:rsid w:val="000A42D7"/>
    <w:rsid w:val="000A5AE5"/>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7E0"/>
    <w:rsid w:val="00174F3B"/>
    <w:rsid w:val="00175B12"/>
    <w:rsid w:val="00175F8E"/>
    <w:rsid w:val="00176167"/>
    <w:rsid w:val="00176A70"/>
    <w:rsid w:val="0017701E"/>
    <w:rsid w:val="00177020"/>
    <w:rsid w:val="0018072F"/>
    <w:rsid w:val="00180A53"/>
    <w:rsid w:val="00181BB0"/>
    <w:rsid w:val="00182BBD"/>
    <w:rsid w:val="00182C96"/>
    <w:rsid w:val="001837BD"/>
    <w:rsid w:val="0018562F"/>
    <w:rsid w:val="0018575D"/>
    <w:rsid w:val="0018586D"/>
    <w:rsid w:val="001858C6"/>
    <w:rsid w:val="00185A9C"/>
    <w:rsid w:val="00185C58"/>
    <w:rsid w:val="00186758"/>
    <w:rsid w:val="00187509"/>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459A"/>
    <w:rsid w:val="001B4C8F"/>
    <w:rsid w:val="001B5232"/>
    <w:rsid w:val="001B55A2"/>
    <w:rsid w:val="001B6FFC"/>
    <w:rsid w:val="001B72C7"/>
    <w:rsid w:val="001C1C00"/>
    <w:rsid w:val="001C1C5D"/>
    <w:rsid w:val="001C2409"/>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11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5C22"/>
    <w:rsid w:val="002A6B25"/>
    <w:rsid w:val="002A6B4B"/>
    <w:rsid w:val="002A6CA0"/>
    <w:rsid w:val="002A70D8"/>
    <w:rsid w:val="002B00F7"/>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1E9"/>
    <w:rsid w:val="002C7217"/>
    <w:rsid w:val="002D08E3"/>
    <w:rsid w:val="002D0E27"/>
    <w:rsid w:val="002D1149"/>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99"/>
    <w:rsid w:val="00307DCC"/>
    <w:rsid w:val="003116A8"/>
    <w:rsid w:val="003127DD"/>
    <w:rsid w:val="00312E1C"/>
    <w:rsid w:val="00313EB3"/>
    <w:rsid w:val="00313FC5"/>
    <w:rsid w:val="00315003"/>
    <w:rsid w:val="00315278"/>
    <w:rsid w:val="00315D6F"/>
    <w:rsid w:val="00316DC1"/>
    <w:rsid w:val="00316ED9"/>
    <w:rsid w:val="00320652"/>
    <w:rsid w:val="003213DE"/>
    <w:rsid w:val="00321446"/>
    <w:rsid w:val="00322EB1"/>
    <w:rsid w:val="00323534"/>
    <w:rsid w:val="003242E2"/>
    <w:rsid w:val="0032471B"/>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08BB"/>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A39"/>
    <w:rsid w:val="00391F5A"/>
    <w:rsid w:val="003936BB"/>
    <w:rsid w:val="00393961"/>
    <w:rsid w:val="00394467"/>
    <w:rsid w:val="00395521"/>
    <w:rsid w:val="00395A71"/>
    <w:rsid w:val="00396A5B"/>
    <w:rsid w:val="00396D00"/>
    <w:rsid w:val="003A0693"/>
    <w:rsid w:val="003A2056"/>
    <w:rsid w:val="003A4B3A"/>
    <w:rsid w:val="003A5707"/>
    <w:rsid w:val="003A5F63"/>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61B"/>
    <w:rsid w:val="00411195"/>
    <w:rsid w:val="00411413"/>
    <w:rsid w:val="004127A0"/>
    <w:rsid w:val="00412ABD"/>
    <w:rsid w:val="00412C14"/>
    <w:rsid w:val="00413801"/>
    <w:rsid w:val="00413861"/>
    <w:rsid w:val="0041471C"/>
    <w:rsid w:val="004154F5"/>
    <w:rsid w:val="0041567E"/>
    <w:rsid w:val="004159B2"/>
    <w:rsid w:val="00416356"/>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3FF0"/>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17B"/>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0CA"/>
    <w:rsid w:val="004B5614"/>
    <w:rsid w:val="004B5877"/>
    <w:rsid w:val="004B5B65"/>
    <w:rsid w:val="004C00B9"/>
    <w:rsid w:val="004C03AC"/>
    <w:rsid w:val="004C0A3F"/>
    <w:rsid w:val="004C32BE"/>
    <w:rsid w:val="004C3F91"/>
    <w:rsid w:val="004C4493"/>
    <w:rsid w:val="004C45E2"/>
    <w:rsid w:val="004C4D0C"/>
    <w:rsid w:val="004C53B2"/>
    <w:rsid w:val="004C64E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0A59"/>
    <w:rsid w:val="004F1A5E"/>
    <w:rsid w:val="004F2E2A"/>
    <w:rsid w:val="004F34FF"/>
    <w:rsid w:val="004F37F3"/>
    <w:rsid w:val="004F3F44"/>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67922"/>
    <w:rsid w:val="00571574"/>
    <w:rsid w:val="005724E9"/>
    <w:rsid w:val="0057290E"/>
    <w:rsid w:val="00572BE3"/>
    <w:rsid w:val="00572C22"/>
    <w:rsid w:val="00573B96"/>
    <w:rsid w:val="0057408D"/>
    <w:rsid w:val="00574CC2"/>
    <w:rsid w:val="00574D98"/>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C33"/>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100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0B9"/>
    <w:rsid w:val="005E0BD2"/>
    <w:rsid w:val="005E1266"/>
    <w:rsid w:val="005E3C25"/>
    <w:rsid w:val="005E4938"/>
    <w:rsid w:val="005E5674"/>
    <w:rsid w:val="005E5A43"/>
    <w:rsid w:val="005E5EF1"/>
    <w:rsid w:val="005E63AD"/>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803"/>
    <w:rsid w:val="006278F4"/>
    <w:rsid w:val="00627B98"/>
    <w:rsid w:val="00631305"/>
    <w:rsid w:val="00631F71"/>
    <w:rsid w:val="006328A6"/>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9E4"/>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8DF"/>
    <w:rsid w:val="006F5F82"/>
    <w:rsid w:val="006F6AD5"/>
    <w:rsid w:val="006F7127"/>
    <w:rsid w:val="00700342"/>
    <w:rsid w:val="007006E7"/>
    <w:rsid w:val="00701964"/>
    <w:rsid w:val="00701BB0"/>
    <w:rsid w:val="00702357"/>
    <w:rsid w:val="00702DB8"/>
    <w:rsid w:val="007034B1"/>
    <w:rsid w:val="00703C67"/>
    <w:rsid w:val="007061F8"/>
    <w:rsid w:val="00706FB2"/>
    <w:rsid w:val="00707218"/>
    <w:rsid w:val="007074F5"/>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5"/>
    <w:rsid w:val="007547EA"/>
    <w:rsid w:val="00754A73"/>
    <w:rsid w:val="00755454"/>
    <w:rsid w:val="0075604E"/>
    <w:rsid w:val="00760B2C"/>
    <w:rsid w:val="007622EA"/>
    <w:rsid w:val="007627F6"/>
    <w:rsid w:val="00762AE4"/>
    <w:rsid w:val="00762DDD"/>
    <w:rsid w:val="00763EA5"/>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330"/>
    <w:rsid w:val="00797531"/>
    <w:rsid w:val="007A05B6"/>
    <w:rsid w:val="007A141E"/>
    <w:rsid w:val="007A17F7"/>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1E10"/>
    <w:rsid w:val="007F20FF"/>
    <w:rsid w:val="007F2388"/>
    <w:rsid w:val="007F2641"/>
    <w:rsid w:val="007F280C"/>
    <w:rsid w:val="007F2FAC"/>
    <w:rsid w:val="007F349F"/>
    <w:rsid w:val="007F475E"/>
    <w:rsid w:val="007F5BA5"/>
    <w:rsid w:val="007F6891"/>
    <w:rsid w:val="007F78EA"/>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1A95"/>
    <w:rsid w:val="00822077"/>
    <w:rsid w:val="00822A02"/>
    <w:rsid w:val="008231A9"/>
    <w:rsid w:val="0082357B"/>
    <w:rsid w:val="0082395F"/>
    <w:rsid w:val="00823B22"/>
    <w:rsid w:val="008254BC"/>
    <w:rsid w:val="00826FDC"/>
    <w:rsid w:val="008308BE"/>
    <w:rsid w:val="00830CE5"/>
    <w:rsid w:val="008313C2"/>
    <w:rsid w:val="00832520"/>
    <w:rsid w:val="00832E80"/>
    <w:rsid w:val="00832EB5"/>
    <w:rsid w:val="00832F22"/>
    <w:rsid w:val="0083565A"/>
    <w:rsid w:val="00835A0B"/>
    <w:rsid w:val="008409AE"/>
    <w:rsid w:val="00840EA7"/>
    <w:rsid w:val="008428E1"/>
    <w:rsid w:val="00842F87"/>
    <w:rsid w:val="008432CC"/>
    <w:rsid w:val="00843CE4"/>
    <w:rsid w:val="0084425F"/>
    <w:rsid w:val="008445A6"/>
    <w:rsid w:val="00844E79"/>
    <w:rsid w:val="008465D2"/>
    <w:rsid w:val="00850792"/>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3DA5"/>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5BDD"/>
    <w:rsid w:val="008B6135"/>
    <w:rsid w:val="008B6214"/>
    <w:rsid w:val="008B66C8"/>
    <w:rsid w:val="008B6DBE"/>
    <w:rsid w:val="008B73E8"/>
    <w:rsid w:val="008B7B4F"/>
    <w:rsid w:val="008B7F2F"/>
    <w:rsid w:val="008C0ECB"/>
    <w:rsid w:val="008C1818"/>
    <w:rsid w:val="008C30A0"/>
    <w:rsid w:val="008C3173"/>
    <w:rsid w:val="008C3735"/>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E67"/>
    <w:rsid w:val="00923E96"/>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250B"/>
    <w:rsid w:val="0094296E"/>
    <w:rsid w:val="0094298C"/>
    <w:rsid w:val="00943063"/>
    <w:rsid w:val="009435CD"/>
    <w:rsid w:val="0094553A"/>
    <w:rsid w:val="00947FC1"/>
    <w:rsid w:val="009517E1"/>
    <w:rsid w:val="00951B46"/>
    <w:rsid w:val="009533D9"/>
    <w:rsid w:val="0095377B"/>
    <w:rsid w:val="00953D64"/>
    <w:rsid w:val="00953E8C"/>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0D8"/>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60F4"/>
    <w:rsid w:val="009D6686"/>
    <w:rsid w:val="009D6C0F"/>
    <w:rsid w:val="009D6D3D"/>
    <w:rsid w:val="009D7037"/>
    <w:rsid w:val="009D71AB"/>
    <w:rsid w:val="009D72AF"/>
    <w:rsid w:val="009D7595"/>
    <w:rsid w:val="009D7679"/>
    <w:rsid w:val="009D7C0C"/>
    <w:rsid w:val="009D7F0B"/>
    <w:rsid w:val="009E20EB"/>
    <w:rsid w:val="009E489A"/>
    <w:rsid w:val="009E5212"/>
    <w:rsid w:val="009E6C19"/>
    <w:rsid w:val="009E6E2F"/>
    <w:rsid w:val="009F0845"/>
    <w:rsid w:val="009F1EDE"/>
    <w:rsid w:val="009F2CEE"/>
    <w:rsid w:val="009F2EF1"/>
    <w:rsid w:val="009F3F1F"/>
    <w:rsid w:val="009F426B"/>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CD"/>
    <w:rsid w:val="00A41D75"/>
    <w:rsid w:val="00A43152"/>
    <w:rsid w:val="00A44E8E"/>
    <w:rsid w:val="00A45776"/>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1FE"/>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4EEB"/>
    <w:rsid w:val="00A9526B"/>
    <w:rsid w:val="00A95958"/>
    <w:rsid w:val="00A96256"/>
    <w:rsid w:val="00A96A09"/>
    <w:rsid w:val="00A97A5A"/>
    <w:rsid w:val="00AA0497"/>
    <w:rsid w:val="00AA0955"/>
    <w:rsid w:val="00AA1E6A"/>
    <w:rsid w:val="00AA2744"/>
    <w:rsid w:val="00AA3F55"/>
    <w:rsid w:val="00AA46E5"/>
    <w:rsid w:val="00AA46E6"/>
    <w:rsid w:val="00AA4E3C"/>
    <w:rsid w:val="00AA5FEE"/>
    <w:rsid w:val="00AA6624"/>
    <w:rsid w:val="00AA6E94"/>
    <w:rsid w:val="00AA796D"/>
    <w:rsid w:val="00AA7BC6"/>
    <w:rsid w:val="00AA7D6B"/>
    <w:rsid w:val="00AB03C3"/>
    <w:rsid w:val="00AB060C"/>
    <w:rsid w:val="00AB07BF"/>
    <w:rsid w:val="00AB09BC"/>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6F29"/>
    <w:rsid w:val="00B2719B"/>
    <w:rsid w:val="00B30C78"/>
    <w:rsid w:val="00B323A4"/>
    <w:rsid w:val="00B33563"/>
    <w:rsid w:val="00B3404B"/>
    <w:rsid w:val="00B34094"/>
    <w:rsid w:val="00B343F3"/>
    <w:rsid w:val="00B34FE4"/>
    <w:rsid w:val="00B36321"/>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3047"/>
    <w:rsid w:val="00B834A4"/>
    <w:rsid w:val="00B836B0"/>
    <w:rsid w:val="00B84072"/>
    <w:rsid w:val="00B84F18"/>
    <w:rsid w:val="00B853B4"/>
    <w:rsid w:val="00B85C37"/>
    <w:rsid w:val="00B85D7B"/>
    <w:rsid w:val="00B860C8"/>
    <w:rsid w:val="00B86B9B"/>
    <w:rsid w:val="00B8792F"/>
    <w:rsid w:val="00B9125F"/>
    <w:rsid w:val="00B916FF"/>
    <w:rsid w:val="00B92FFE"/>
    <w:rsid w:val="00B93BBA"/>
    <w:rsid w:val="00B94445"/>
    <w:rsid w:val="00B9493B"/>
    <w:rsid w:val="00B952F3"/>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F5C"/>
    <w:rsid w:val="00C75C02"/>
    <w:rsid w:val="00C76BFE"/>
    <w:rsid w:val="00C76E82"/>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4703"/>
    <w:rsid w:val="00C95B0D"/>
    <w:rsid w:val="00C95EA6"/>
    <w:rsid w:val="00C960FF"/>
    <w:rsid w:val="00C96369"/>
    <w:rsid w:val="00C96B3F"/>
    <w:rsid w:val="00C96BB1"/>
    <w:rsid w:val="00C9794F"/>
    <w:rsid w:val="00CA0DA0"/>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2E8"/>
    <w:rsid w:val="00CC40AF"/>
    <w:rsid w:val="00CC48BF"/>
    <w:rsid w:val="00CC5112"/>
    <w:rsid w:val="00CC5559"/>
    <w:rsid w:val="00CC5E15"/>
    <w:rsid w:val="00CC63BD"/>
    <w:rsid w:val="00CC6AA8"/>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1E4F"/>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30A"/>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0D71"/>
    <w:rsid w:val="00D314DB"/>
    <w:rsid w:val="00D31A54"/>
    <w:rsid w:val="00D32E0D"/>
    <w:rsid w:val="00D33412"/>
    <w:rsid w:val="00D34220"/>
    <w:rsid w:val="00D3433D"/>
    <w:rsid w:val="00D345D3"/>
    <w:rsid w:val="00D34B5E"/>
    <w:rsid w:val="00D3537F"/>
    <w:rsid w:val="00D35582"/>
    <w:rsid w:val="00D35793"/>
    <w:rsid w:val="00D400AE"/>
    <w:rsid w:val="00D40197"/>
    <w:rsid w:val="00D40716"/>
    <w:rsid w:val="00D411F0"/>
    <w:rsid w:val="00D41649"/>
    <w:rsid w:val="00D41E25"/>
    <w:rsid w:val="00D41E7D"/>
    <w:rsid w:val="00D42063"/>
    <w:rsid w:val="00D4228F"/>
    <w:rsid w:val="00D427A2"/>
    <w:rsid w:val="00D43207"/>
    <w:rsid w:val="00D43375"/>
    <w:rsid w:val="00D43530"/>
    <w:rsid w:val="00D44336"/>
    <w:rsid w:val="00D44BA5"/>
    <w:rsid w:val="00D45515"/>
    <w:rsid w:val="00D45602"/>
    <w:rsid w:val="00D456BD"/>
    <w:rsid w:val="00D4581E"/>
    <w:rsid w:val="00D47412"/>
    <w:rsid w:val="00D500A7"/>
    <w:rsid w:val="00D50531"/>
    <w:rsid w:val="00D50BD5"/>
    <w:rsid w:val="00D50C10"/>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793D"/>
    <w:rsid w:val="00DC1591"/>
    <w:rsid w:val="00DC2163"/>
    <w:rsid w:val="00DC2997"/>
    <w:rsid w:val="00DC3267"/>
    <w:rsid w:val="00DC34C2"/>
    <w:rsid w:val="00DC46DA"/>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70A3"/>
    <w:rsid w:val="00DE02C1"/>
    <w:rsid w:val="00DE086C"/>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73"/>
    <w:rsid w:val="00E166ED"/>
    <w:rsid w:val="00E1699F"/>
    <w:rsid w:val="00E1709A"/>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2C26"/>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05B"/>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24AA"/>
    <w:rsid w:val="00EA3622"/>
    <w:rsid w:val="00EA36F5"/>
    <w:rsid w:val="00EA3852"/>
    <w:rsid w:val="00EA3B26"/>
    <w:rsid w:val="00EA3C51"/>
    <w:rsid w:val="00EA3CCE"/>
    <w:rsid w:val="00EA4048"/>
    <w:rsid w:val="00EA4698"/>
    <w:rsid w:val="00EA4ABA"/>
    <w:rsid w:val="00EA4EF5"/>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C0CE4"/>
    <w:rsid w:val="00EC11FF"/>
    <w:rsid w:val="00EC26DE"/>
    <w:rsid w:val="00EC2860"/>
    <w:rsid w:val="00EC3FDF"/>
    <w:rsid w:val="00EC44FD"/>
    <w:rsid w:val="00EC45A5"/>
    <w:rsid w:val="00EC47B6"/>
    <w:rsid w:val="00EC6842"/>
    <w:rsid w:val="00EC70C6"/>
    <w:rsid w:val="00EC714B"/>
    <w:rsid w:val="00EC7F26"/>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BCF"/>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AFD"/>
    <w:rsid w:val="00F11F96"/>
    <w:rsid w:val="00F12262"/>
    <w:rsid w:val="00F1254B"/>
    <w:rsid w:val="00F12B2C"/>
    <w:rsid w:val="00F12C00"/>
    <w:rsid w:val="00F12EB7"/>
    <w:rsid w:val="00F130F5"/>
    <w:rsid w:val="00F13436"/>
    <w:rsid w:val="00F137E0"/>
    <w:rsid w:val="00F13888"/>
    <w:rsid w:val="00F1412A"/>
    <w:rsid w:val="00F14B6C"/>
    <w:rsid w:val="00F15545"/>
    <w:rsid w:val="00F16EAA"/>
    <w:rsid w:val="00F1748F"/>
    <w:rsid w:val="00F17594"/>
    <w:rsid w:val="00F17E4B"/>
    <w:rsid w:val="00F2074F"/>
    <w:rsid w:val="00F21995"/>
    <w:rsid w:val="00F21B41"/>
    <w:rsid w:val="00F23678"/>
    <w:rsid w:val="00F23747"/>
    <w:rsid w:val="00F2430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6D99"/>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4D13"/>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EF"/>
    <w:rsid w:val="00FA74FF"/>
    <w:rsid w:val="00FA7AA6"/>
    <w:rsid w:val="00FA7C01"/>
    <w:rsid w:val="00FA7C9C"/>
    <w:rsid w:val="00FA7DED"/>
    <w:rsid w:val="00FB0A05"/>
    <w:rsid w:val="00FB2B42"/>
    <w:rsid w:val="00FB3DAE"/>
    <w:rsid w:val="00FB45CA"/>
    <w:rsid w:val="00FB4A9D"/>
    <w:rsid w:val="00FB5072"/>
    <w:rsid w:val="00FB52B0"/>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2A2"/>
    <w:rsid w:val="00FE2763"/>
    <w:rsid w:val="00FE2E74"/>
    <w:rsid w:val="00FE3153"/>
    <w:rsid w:val="00FE3327"/>
    <w:rsid w:val="00FE357C"/>
    <w:rsid w:val="00FE3FB8"/>
    <w:rsid w:val="00FE41B8"/>
    <w:rsid w:val="00FE4729"/>
    <w:rsid w:val="00FE4D3E"/>
    <w:rsid w:val="00FE4F0E"/>
    <w:rsid w:val="00FE6BAD"/>
    <w:rsid w:val="00FE78A7"/>
    <w:rsid w:val="00FE7C80"/>
    <w:rsid w:val="00FF2F94"/>
    <w:rsid w:val="00FF35C5"/>
    <w:rsid w:val="00FF37B2"/>
    <w:rsid w:val="00FF530E"/>
    <w:rsid w:val="00FF5C3C"/>
    <w:rsid w:val="00FF7695"/>
    <w:rsid w:val="12703114"/>
    <w:rsid w:val="1BD23D49"/>
    <w:rsid w:val="29729D5D"/>
    <w:rsid w:val="2FCCE3BB"/>
    <w:rsid w:val="31F53067"/>
    <w:rsid w:val="33B6E3B8"/>
    <w:rsid w:val="496F53B0"/>
    <w:rsid w:val="59B47C8D"/>
    <w:rsid w:val="62C780E2"/>
    <w:rsid w:val="6D1DC6A4"/>
    <w:rsid w:val="6D4A52F9"/>
    <w:rsid w:val="711332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239F14DE-078B-470E-ACF9-5CAF8658D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autoRedefine/>
    <w:unhideWhenUsed/>
    <w:qFormat/>
    <w:rsid w:val="00FE22A2"/>
    <w:pPr>
      <w:outlineLvl w:val="3"/>
    </w:pPr>
    <w:rPr>
      <w:b w:val="0"/>
      <w:bCs w:val="0"/>
      <w:sz w:val="28"/>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FE22A2"/>
    <w:rPr>
      <w:rFonts w:ascii="CVS Health Sans" w:eastAsiaTheme="majorEastAsia" w:hAnsi="CVS Health Sans" w:cs="Arial"/>
      <w:sz w:val="28"/>
      <w:szCs w:val="22"/>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265FEB"/>
    <w:pPr>
      <w:keepNext/>
      <w:keepLines/>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265FEB"/>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ReferenceInternalOrdered">
    <w:name w:val="Reference Internal Ordered"/>
    <w:basedOn w:val="ReferenceOrdered"/>
    <w:rsid w:val="0049317B"/>
    <w:pPr>
      <w:keepNext w:val="0"/>
      <w:keepLines w:val="0"/>
      <w:numPr>
        <w:numId w:val="34"/>
      </w:numPr>
      <w:ind w:lef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35491894-6672-4D4A-9283-F5A779289415}"/>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406</Words>
  <Characters>2320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Palynziq SGM 2585-A</vt:lpstr>
    </vt:vector>
  </TitlesOfParts>
  <Company>CVS Caremark</Company>
  <LinksUpToDate>false</LinksUpToDate>
  <CharactersWithSpaces>2721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Palynziq SGM 2585-A</dc:title>
  <dc:subject>Palynziq SGM 2585-A</dc:subject>
  <dc:creator>CVS Caremark</dc:creator>
  <cp:keywords/>
  <cp:lastModifiedBy>Reynoso, Victor H</cp:lastModifiedBy>
  <cp:revision>7</cp:revision>
  <cp:lastPrinted>2024-04-04T19:46:00Z</cp:lastPrinted>
  <dcterms:created xsi:type="dcterms:W3CDTF">2025-04-28T17:38:00Z</dcterms:created>
  <dcterms:modified xsi:type="dcterms:W3CDTF">2025-05-07T17:18:00Z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1629000</vt:r8>
  </property>
  <property fmtid="{D5CDD505-2E9C-101B-9397-08002B2CF9AE}" pid="12" name="ComplianceAssetId">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y fmtid="{D5CDD505-2E9C-101B-9397-08002B2CF9AE}" pid="16" name="xd_ProgID">
    <vt:lpwstr/>
  </property>
  <property fmtid="{D5CDD505-2E9C-101B-9397-08002B2CF9AE}" pid="17" name="TemplateUrl">
    <vt:lpwstr/>
  </property>
  <property fmtid="{D5CDD505-2E9C-101B-9397-08002B2CF9AE}" pid="18" name="_SourceUrl">
    <vt:lpwstr/>
  </property>
  <property fmtid="{D5CDD505-2E9C-101B-9397-08002B2CF9AE}" pid="19" name="_SharedFileIndex">
    <vt:lpwstr/>
  </property>
</Properties>
</file>